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rFonts w:ascii="Verdana" w:cs="Verdana" w:eastAsia="Verdana" w:hAnsi="Verdana"/>
          <w:color w:val="222222"/>
        </w:rPr>
      </w:pPr>
      <w:r w:rsidDel="00000000" w:rsidR="00000000" w:rsidRPr="00000000">
        <w:rPr>
          <w:rFonts w:ascii="Verdana" w:cs="Verdana" w:eastAsia="Verdana" w:hAnsi="Verdana"/>
          <w:color w:val="222222"/>
        </w:rPr>
        <w:drawing>
          <wp:inline distB="114300" distT="114300" distL="114300" distR="114300">
            <wp:extent cx="2009775" cy="86696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09775" cy="8669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rFonts w:ascii="Verdana" w:cs="Verdana" w:eastAsia="Verdana" w:hAnsi="Verdana"/>
          <w:b w:val="1"/>
          <w:bCs w:val="1"/>
          <w:color w:val="222222"/>
        </w:rPr>
      </w:pPr>
      <w:r w:rsidDel="00000000" w:rsidR="00000000" w:rsidRPr="00000000">
        <w:rPr>
          <w:rFonts w:ascii="Verdana" w:cs="Verdana" w:eastAsia="Verdana" w:hAnsi="Verdana"/>
          <w:b w:val="1"/>
          <w:bCs w:val="1"/>
          <w:color w:val="222222"/>
          <w:rtl w:val="0"/>
        </w:rPr>
        <w:t xml:space="preserve">School LAND Trust Funds</w:t>
      </w:r>
    </w:p>
    <w:p w:rsidR="00000000" w:rsidDel="00000000" w:rsidP="00000000" w:rsidRDefault="00000000" w:rsidRPr="00000000" w14:paraId="00000004">
      <w:pPr>
        <w:shd w:fill="ffffff" w:val="clear"/>
        <w:jc w:val="center"/>
        <w:rPr>
          <w:rFonts w:ascii="Verdana" w:cs="Verdana" w:eastAsia="Verdana" w:hAnsi="Verdana"/>
          <w:b w:val="1"/>
          <w:bCs w:val="1"/>
          <w:color w:val="222222"/>
        </w:rPr>
      </w:pPr>
      <w:r w:rsidDel="00000000" w:rsidR="00000000" w:rsidRPr="00000000">
        <w:rPr>
          <w:rFonts w:ascii="Verdana" w:cs="Verdana" w:eastAsia="Verdana" w:hAnsi="Verdana"/>
          <w:b w:val="1"/>
          <w:bCs w:val="1"/>
          <w:color w:val="222222"/>
          <w:rtl w:val="0"/>
        </w:rPr>
        <w:t xml:space="preserve">Final Report for 2024-2025</w:t>
      </w:r>
    </w:p>
    <w:p w:rsidR="00000000" w:rsidDel="00000000" w:rsidP="00000000" w:rsidRDefault="00000000" w:rsidRPr="00000000" w14:paraId="00000005">
      <w:pPr>
        <w:shd w:fill="ffffff" w:val="clear"/>
        <w:rPr>
          <w:rFonts w:ascii="Verdana" w:cs="Verdana" w:eastAsia="Verdana" w:hAnsi="Verdana"/>
          <w:b w:val="1"/>
          <w:bCs w:val="1"/>
          <w:color w:val="2222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Our planned expenditures for the School LAND Trust Program for the 2024-2025 school year were </w:t>
      </w:r>
      <w:r w:rsidDel="00000000" w:rsidR="00000000" w:rsidRPr="00000000">
        <w:rPr>
          <w:rFonts w:ascii="Arial" w:cs="Arial" w:eastAsia="Arial" w:hAnsi="Arial"/>
          <w:color w:val="222222"/>
          <w:highlight w:val="white"/>
          <w:rtl w:val="0"/>
        </w:rPr>
        <w:t xml:space="preserve">$4,515.20, with no carryover from the previous school year</w:t>
      </w:r>
      <w:r w:rsidDel="00000000" w:rsidR="00000000" w:rsidRPr="00000000">
        <w:rPr>
          <w:rFonts w:ascii="Arial" w:cs="Arial" w:eastAsia="Arial" w:hAnsi="Arial"/>
          <w:color w:val="222222"/>
          <w:rtl w:val="0"/>
        </w:rPr>
        <w:t xml:space="preserve">. We spent 4,397.40 (117.80 carryover to next year) as we focused on an academic achievement goal in reading.</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Goal 1: Academic Achievement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Goal Statement: At least half of all River's Edge School students (50% or more) will achieve typical or above typical progress on their Growth Measure reading score as a result of increased academic coaching across content areas. These data will be based on students who have comparisons available from the beginning of the year (fall 2024) to the end of the year (spring 2025).</w:t>
      </w:r>
    </w:p>
    <w:p w:rsidR="00000000" w:rsidDel="00000000" w:rsidP="00000000" w:rsidRDefault="00000000" w:rsidRPr="00000000" w14:paraId="0000000B">
      <w:pPr>
        <w:shd w:fill="ffffff" w:val="clear"/>
        <w:rPr>
          <w:rFonts w:ascii="Arial" w:cs="Arial" w:eastAsia="Arial" w:hAnsi="Arial"/>
          <w:color w:val="222222"/>
          <w:highlight w:val="yellow"/>
        </w:rPr>
      </w:pPr>
      <w:bookmarkStart w:colFirst="0" w:colLast="0" w:name="_i0s9bipot5ae" w:id="0"/>
      <w:bookmarkEnd w:id="0"/>
      <w:r w:rsidDel="00000000" w:rsidR="00000000" w:rsidRPr="00000000">
        <w:rPr>
          <w:rtl w:val="0"/>
        </w:rPr>
      </w:r>
    </w:p>
    <w:p w:rsidR="00000000" w:rsidDel="00000000" w:rsidP="00000000" w:rsidRDefault="00000000" w:rsidRPr="00000000" w14:paraId="0000000C">
      <w:pPr>
        <w:shd w:fill="ffffff" w:val="clear"/>
        <w:rPr>
          <w:rFonts w:ascii="Arial" w:cs="Arial" w:eastAsia="Arial" w:hAnsi="Arial"/>
          <w:color w:val="222222"/>
        </w:rPr>
      </w:pPr>
      <w:bookmarkStart w:colFirst="0" w:colLast="0" w:name="_kn5hpl23zbzz" w:id="1"/>
      <w:bookmarkEnd w:id="1"/>
      <w:r w:rsidDel="00000000" w:rsidR="00000000" w:rsidRPr="00000000">
        <w:rPr>
          <w:rFonts w:ascii="Arial" w:cs="Arial" w:eastAsia="Arial" w:hAnsi="Arial"/>
          <w:color w:val="222222"/>
          <w:rtl w:val="0"/>
        </w:rPr>
        <w:t xml:space="preserve">To achieve this goal, we spent</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rtl w:val="0"/>
        </w:rPr>
        <w:t xml:space="preserve">4,397.40</w:t>
      </w:r>
      <w:r w:rsidDel="00000000" w:rsidR="00000000" w:rsidRPr="00000000">
        <w:rPr>
          <w:rFonts w:ascii="Arial" w:cs="Arial" w:eastAsia="Arial" w:hAnsi="Arial"/>
          <w:color w:val="222222"/>
          <w:rtl w:val="0"/>
        </w:rPr>
        <w:t xml:space="preserve"> on our coaching initiative. Because the skill of reading cuts across all content areas, we focused on increasing engagement and high-leverage strategies across classes to boost reading scores.</w:t>
      </w:r>
    </w:p>
    <w:p w:rsidR="00000000" w:rsidDel="00000000" w:rsidP="00000000" w:rsidRDefault="00000000" w:rsidRPr="00000000" w14:paraId="0000000D">
      <w:pPr>
        <w:shd w:fill="ffffff" w:val="clear"/>
        <w:rPr>
          <w:rFonts w:ascii="Arial" w:cs="Arial" w:eastAsia="Arial" w:hAnsi="Arial"/>
          <w:color w:val="222222"/>
        </w:rPr>
      </w:pPr>
      <w:bookmarkStart w:colFirst="0" w:colLast="0" w:name="_79h9cvo3mgvz" w:id="2"/>
      <w:bookmarkEnd w:id="2"/>
      <w:r w:rsidDel="00000000" w:rsidR="00000000" w:rsidRPr="00000000">
        <w:rPr>
          <w:rtl w:val="0"/>
        </w:rPr>
      </w:r>
    </w:p>
    <w:p w:rsidR="00000000" w:rsidDel="00000000" w:rsidP="00000000" w:rsidRDefault="00000000" w:rsidRPr="00000000" w14:paraId="0000000E">
      <w:pPr>
        <w:shd w:fill="ffffff" w:val="clear"/>
        <w:rPr>
          <w:rFonts w:ascii="Arial" w:cs="Arial" w:eastAsia="Arial" w:hAnsi="Arial"/>
          <w:color w:val="222222"/>
        </w:rPr>
      </w:pPr>
      <w:bookmarkStart w:colFirst="0" w:colLast="0" w:name="_pl3ytrixa2dg" w:id="3"/>
      <w:bookmarkEnd w:id="3"/>
      <w:r w:rsidDel="00000000" w:rsidR="00000000" w:rsidRPr="00000000">
        <w:rPr>
          <w:rFonts w:ascii="Arial" w:cs="Arial" w:eastAsia="Arial" w:hAnsi="Arial"/>
          <w:color w:val="222222"/>
          <w:rtl w:val="0"/>
        </w:rPr>
        <w:t xml:space="preserve">The following action steps were implemented:</w:t>
      </w:r>
    </w:p>
    <w:p w:rsidR="00000000" w:rsidDel="00000000" w:rsidP="00000000" w:rsidRDefault="00000000" w:rsidRPr="00000000" w14:paraId="0000000F">
      <w:pPr>
        <w:shd w:fill="ffffff" w:val="clear"/>
        <w:rPr>
          <w:rFonts w:ascii="Arial" w:cs="Arial" w:eastAsia="Arial" w:hAnsi="Arial"/>
          <w:color w:val="222222"/>
        </w:rPr>
      </w:pPr>
      <w:bookmarkStart w:colFirst="0" w:colLast="0" w:name="_6brkm6ux5nmf" w:id="4"/>
      <w:bookmarkEnd w:id="4"/>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RES Administration introduced the school coaching plan to licensed staff. </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All licensed teachers were expected to participate in at least one coaching cycle with our instructional coach on engagement or high-leverage strategies. At the conclusion of a successful coaching cycle, during which each of the 7 teachers demonstrated improvement on their selected target skill, each teacher received a stipend of $300. </w:t>
      </w:r>
    </w:p>
    <w:p w:rsidR="00000000" w:rsidDel="00000000" w:rsidP="00000000" w:rsidRDefault="00000000" w:rsidRPr="00000000" w14:paraId="00000012">
      <w:pPr>
        <w:numPr>
          <w:ilvl w:val="0"/>
          <w:numId w:val="1"/>
        </w:numPr>
        <w:ind w:left="72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Additionally, professional development was provided to all staff on a group contingency called “The Good Behavior Game.” Licensed teachers had the option to implement the strategy as part of a 2nd coaching cycle on a voluntary basis. Four out of 7 teachers opted in to this opportunity.  At the completion of a second coaching cycle, in which all 4 teachers demonstrated proficiency in implementing The Good Behavior Game, each teacher received a stipend of $200. </w:t>
      </w:r>
    </w:p>
    <w:p w:rsidR="00000000" w:rsidDel="00000000" w:rsidP="00000000" w:rsidRDefault="00000000" w:rsidRPr="00000000" w14:paraId="00000013">
      <w:pPr>
        <w:numPr>
          <w:ilvl w:val="0"/>
          <w:numId w:val="1"/>
        </w:numPr>
        <w:ind w:left="72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Coaching stipends were also paid out to our instructional coach who facilitated the first coaching cycle. (Our school psychologist, who facilitated the coaching cycles on the Good Behavior Game, was paid a stipend from a different funding source).  </w:t>
      </w:r>
      <w:r w:rsidDel="00000000" w:rsidR="00000000" w:rsidRPr="00000000">
        <w:rPr>
          <w:rtl w:val="0"/>
        </w:rPr>
      </w:r>
    </w:p>
    <w:p w:rsidR="00000000" w:rsidDel="00000000" w:rsidP="00000000" w:rsidRDefault="00000000" w:rsidRPr="00000000" w14:paraId="00000014">
      <w:pPr>
        <w:shd w:fill="ffffff" w:val="clear"/>
        <w:rPr>
          <w:rFonts w:ascii="Arial" w:cs="Arial" w:eastAsia="Arial" w:hAnsi="Arial"/>
          <w:color w:val="222222"/>
        </w:rPr>
      </w:pPr>
      <w:bookmarkStart w:colFirst="0" w:colLast="0" w:name="_xc88s2ctibb3" w:id="5"/>
      <w:bookmarkEnd w:id="5"/>
      <w:r w:rsidDel="00000000" w:rsidR="00000000" w:rsidRPr="00000000">
        <w:rPr>
          <w:rtl w:val="0"/>
        </w:rPr>
      </w:r>
    </w:p>
    <w:p w:rsidR="00000000" w:rsidDel="00000000" w:rsidP="00000000" w:rsidRDefault="00000000" w:rsidRPr="00000000" w14:paraId="00000015">
      <w:pPr>
        <w:shd w:fill="ffffff" w:val="clear"/>
        <w:rPr>
          <w:rFonts w:ascii="Arial" w:cs="Arial" w:eastAsia="Arial" w:hAnsi="Arial"/>
          <w:color w:val="222222"/>
        </w:rPr>
      </w:pPr>
      <w:bookmarkStart w:colFirst="0" w:colLast="0" w:name="_2avici6cmm4a" w:id="6"/>
      <w:bookmarkEnd w:id="6"/>
      <w:r w:rsidDel="00000000" w:rsidR="00000000" w:rsidRPr="00000000">
        <w:rPr>
          <w:rFonts w:ascii="Arial" w:cs="Arial" w:eastAsia="Arial" w:hAnsi="Arial"/>
          <w:color w:val="222222"/>
          <w:rtl w:val="0"/>
        </w:rPr>
        <w:t xml:space="preserve">Reading data: </w:t>
      </w:r>
    </w:p>
    <w:p w:rsidR="00000000" w:rsidDel="00000000" w:rsidP="00000000" w:rsidRDefault="00000000" w:rsidRPr="00000000" w14:paraId="00000016">
      <w:pPr>
        <w:shd w:fill="ffffff" w:val="clear"/>
        <w:rPr>
          <w:rFonts w:ascii="Arial" w:cs="Arial" w:eastAsia="Arial" w:hAnsi="Arial"/>
          <w:color w:val="222222"/>
          <w:highlight w:val="yellow"/>
        </w:rPr>
      </w:pPr>
      <w:bookmarkStart w:colFirst="0" w:colLast="0" w:name="_5kxowgfaix3z" w:id="7"/>
      <w:bookmarkEnd w:id="7"/>
      <w:r w:rsidDel="00000000" w:rsidR="00000000" w:rsidRPr="00000000">
        <w:rPr>
          <w:rFonts w:ascii="Arial" w:cs="Arial" w:eastAsia="Arial" w:hAnsi="Arial"/>
          <w:color w:val="222222"/>
          <w:rtl w:val="0"/>
        </w:rPr>
        <w:t xml:space="preserve">During the 2024-2025 school year, the district moved from Growth Measure to Star Reading, which is what the following data are based on. Thirteen students had scores for both Beginning-of-Year (BOY) assessment to the End-of-Year (EOY) assessment. Nine of the 13 students, or 69.2%, demonstrated typical or better progress on Star Reading from the BOY to EOY. </w:t>
      </w:r>
      <w:r w:rsidDel="00000000" w:rsidR="00000000" w:rsidRPr="00000000">
        <w:rPr>
          <w:rFonts w:ascii="Arial" w:cs="Arial" w:eastAsia="Arial" w:hAnsi="Arial"/>
          <w:color w:val="222222"/>
          <w:rtl w:val="0"/>
        </w:rPr>
        <w:t xml:space="preserve">This meets our goal of at least half our students demonstrating typical or above typical progress in reading.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